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Occupier's Liability Act 1957   </w:t>
      </w:r>
    </w:p>
    <w:p w:rsidR="00783674" w:rsidRDefault="00783674">
      <w:pPr>
        <w:spacing w:line="360" w:lineRule="auto"/>
        <w:rPr>
          <w:rFonts w:ascii="Arial" w:eastAsia="Noto Serif Telugu" w:hAnsi="Arial" w:cs="Arial"/>
          <w:sz w:val="24"/>
        </w:rPr>
      </w:pPr>
    </w:p>
    <w:p w:rsidR="00783674" w:rsidRDefault="00783674">
      <w:pPr>
        <w:spacing w:line="360" w:lineRule="auto"/>
        <w:rPr>
          <w:rFonts w:ascii="Arial" w:eastAsia="Noto Serif Telugu" w:hAnsi="Arial" w:cs="Arial"/>
          <w:sz w:val="24"/>
        </w:rPr>
      </w:pP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Name</w:t>
      </w:r>
    </w:p>
    <w:p w:rsidR="00783674" w:rsidRDefault="00783674">
      <w:pPr>
        <w:spacing w:line="360" w:lineRule="auto"/>
        <w:rPr>
          <w:rFonts w:ascii="Arial" w:eastAsia="Noto Serif Telugu" w:hAnsi="Arial" w:cs="Arial"/>
          <w:sz w:val="24"/>
        </w:rPr>
      </w:pPr>
    </w:p>
    <w:p w:rsidR="00783674" w:rsidRDefault="00783674">
      <w:pPr>
        <w:spacing w:line="360" w:lineRule="auto"/>
        <w:rPr>
          <w:rFonts w:ascii="Arial" w:eastAsia="Noto Serif Telugu" w:hAnsi="Arial" w:cs="Arial"/>
          <w:sz w:val="24"/>
        </w:rPr>
      </w:pPr>
    </w:p>
    <w:p w:rsidR="00783674" w:rsidRDefault="00783674">
      <w:pPr>
        <w:spacing w:line="360" w:lineRule="auto"/>
        <w:rPr>
          <w:rFonts w:ascii="Arial" w:eastAsia="Noto Serif Telugu" w:hAnsi="Arial" w:cs="Arial"/>
          <w:sz w:val="24"/>
        </w:rPr>
      </w:pPr>
    </w:p>
    <w:p w:rsidR="00783674" w:rsidRDefault="00783674">
      <w:pPr>
        <w:spacing w:line="360" w:lineRule="auto"/>
        <w:rPr>
          <w:rFonts w:ascii="Arial" w:eastAsia="Noto Serif Telugu" w:hAnsi="Arial" w:cs="Arial"/>
          <w:sz w:val="24"/>
        </w:rPr>
      </w:pPr>
    </w:p>
    <w:p w:rsidR="00783674" w:rsidRDefault="00783674">
      <w:pPr>
        <w:spacing w:line="360" w:lineRule="auto"/>
        <w:rPr>
          <w:rFonts w:ascii="Arial" w:eastAsia="Noto Serif Telugu" w:hAnsi="Arial" w:cs="Arial"/>
          <w:sz w:val="24"/>
        </w:rPr>
      </w:pP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Name of the Class</w:t>
      </w: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Name of Professor</w:t>
      </w: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Name of School</w:t>
      </w: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w:t>
      </w:r>
      <w:r>
        <w:rPr>
          <w:rFonts w:ascii="Arial" w:eastAsia="Noto Serif Telugu" w:hAnsi="Arial" w:cs="Arial"/>
          <w:sz w:val="24"/>
        </w:rPr>
        <w:t xml:space="preserve">                                     City or State the University Is Located</w:t>
      </w:r>
    </w:p>
    <w:p w:rsidR="00783674" w:rsidRDefault="00783674">
      <w:pPr>
        <w:spacing w:line="360" w:lineRule="auto"/>
        <w:rPr>
          <w:rFonts w:ascii="Arial" w:eastAsia="Noto Serif Telugu" w:hAnsi="Arial" w:cs="Arial"/>
          <w:b/>
          <w:sz w:val="24"/>
        </w:rPr>
      </w:pPr>
    </w:p>
    <w:p w:rsidR="00783674" w:rsidRDefault="00783674">
      <w:pPr>
        <w:spacing w:line="360" w:lineRule="auto"/>
        <w:rPr>
          <w:rFonts w:ascii="Arial" w:eastAsia="Noto Serif Telugu" w:hAnsi="Arial" w:cs="Arial"/>
          <w:b/>
          <w:sz w:val="24"/>
        </w:rPr>
      </w:pPr>
    </w:p>
    <w:p w:rsidR="00783674" w:rsidRDefault="00592260">
      <w:pPr>
        <w:spacing w:line="360" w:lineRule="auto"/>
        <w:rPr>
          <w:rFonts w:ascii="Arial" w:eastAsia="Noto Serif Telugu" w:hAnsi="Arial" w:cs="Arial"/>
          <w:b/>
          <w:sz w:val="24"/>
        </w:rPr>
      </w:pPr>
      <w:r>
        <w:rPr>
          <w:rFonts w:ascii="Arial" w:eastAsia="Noto Serif Telugu" w:hAnsi="Arial" w:cs="Arial"/>
          <w:b/>
          <w:sz w:val="24"/>
        </w:rPr>
        <w:t xml:space="preserve"> </w:t>
      </w:r>
    </w:p>
    <w:p w:rsidR="00783674" w:rsidRDefault="00592260">
      <w:pPr>
        <w:spacing w:line="360" w:lineRule="auto"/>
        <w:rPr>
          <w:rFonts w:ascii="Arial" w:eastAsia="Noto Serif Telugu" w:hAnsi="Arial" w:cs="Arial"/>
          <w:sz w:val="24"/>
        </w:rPr>
      </w:pPr>
      <w:r>
        <w:rPr>
          <w:rFonts w:ascii="Arial" w:eastAsia="Noto Serif Telugu" w:hAnsi="Arial" w:cs="Arial"/>
          <w:sz w:val="24"/>
        </w:rPr>
        <w:t xml:space="preserve">                              </w:t>
      </w:r>
    </w:p>
    <w:p w:rsidR="00783674" w:rsidRDefault="00783674">
      <w:pPr>
        <w:spacing w:line="360" w:lineRule="auto"/>
        <w:rPr>
          <w:rFonts w:ascii="Arial" w:eastAsia="Noto Serif Telugu" w:hAnsi="Arial" w:cs="Arial"/>
          <w:b/>
          <w:sz w:val="24"/>
        </w:rPr>
      </w:pPr>
    </w:p>
    <w:p w:rsidR="00783674" w:rsidRDefault="00783674">
      <w:pPr>
        <w:spacing w:line="360" w:lineRule="auto"/>
        <w:rPr>
          <w:rFonts w:ascii="Arial" w:eastAsia="Noto Serif Telugu" w:hAnsi="Arial" w:cs="Arial"/>
          <w:b/>
          <w:sz w:val="24"/>
        </w:rPr>
      </w:pPr>
    </w:p>
    <w:p w:rsidR="00783674" w:rsidRDefault="00783674">
      <w:pPr>
        <w:spacing w:line="360" w:lineRule="auto"/>
        <w:rPr>
          <w:rFonts w:ascii="Arial" w:eastAsia="Noto Serif Telugu" w:hAnsi="Arial" w:cs="Arial"/>
          <w:b/>
          <w:sz w:val="24"/>
        </w:rPr>
      </w:pPr>
    </w:p>
    <w:p w:rsidR="00783674" w:rsidRDefault="00783674">
      <w:pPr>
        <w:spacing w:line="360" w:lineRule="auto"/>
        <w:rPr>
          <w:rFonts w:ascii="Arial" w:eastAsia="Noto Serif Telugu" w:hAnsi="Arial" w:cs="Arial"/>
          <w:b/>
          <w:sz w:val="24"/>
        </w:rPr>
      </w:pPr>
    </w:p>
    <w:p w:rsidR="00783674" w:rsidRDefault="00783674">
      <w:pPr>
        <w:spacing w:line="360" w:lineRule="auto"/>
        <w:rPr>
          <w:rFonts w:ascii="Arial" w:eastAsia="Noto Serif Telugu" w:hAnsi="Arial" w:cs="Arial"/>
          <w:b/>
          <w:sz w:val="24"/>
        </w:rPr>
      </w:pPr>
    </w:p>
    <w:p w:rsidR="00783674" w:rsidRDefault="00592260">
      <w:pPr>
        <w:spacing w:line="360" w:lineRule="auto"/>
        <w:rPr>
          <w:rFonts w:ascii="Arial" w:eastAsia="Noto Serif Telugu" w:hAnsi="Arial" w:cs="Arial"/>
          <w:b/>
          <w:sz w:val="24"/>
        </w:rPr>
      </w:pPr>
      <w:r>
        <w:rPr>
          <w:rFonts w:ascii="Arial" w:eastAsia="Noto Serif Telugu" w:hAnsi="Arial" w:cs="Arial"/>
          <w:b/>
          <w:sz w:val="24"/>
        </w:rPr>
        <w:t xml:space="preserve">                                              Occupier's Liability Act 1957                                  </w:t>
      </w:r>
    </w:p>
    <w:p w:rsidR="00783674" w:rsidRDefault="00592260">
      <w:pPr>
        <w:spacing w:line="360" w:lineRule="auto"/>
        <w:rPr>
          <w:rFonts w:ascii="Arial" w:eastAsia="Noto Serif Telugu" w:hAnsi="Arial" w:cs="Arial"/>
          <w:sz w:val="24"/>
        </w:rPr>
      </w:pPr>
      <w:r>
        <w:rPr>
          <w:rFonts w:ascii="Arial" w:eastAsia="Noto Serif Telugu" w:hAnsi="Arial" w:cs="Arial"/>
          <w:b/>
          <w:sz w:val="24"/>
        </w:rPr>
        <w:t xml:space="preserve">                             </w:t>
      </w:r>
      <w:r>
        <w:rPr>
          <w:rFonts w:ascii="Arial" w:eastAsia="Noto Serif Telugu" w:hAnsi="Arial" w:cs="Arial"/>
          <w:b/>
          <w:sz w:val="24"/>
        </w:rPr>
        <w:t xml:space="preserve">                             Introduction</w:t>
      </w:r>
    </w:p>
    <w:p w:rsidR="00783674" w:rsidRDefault="00592260">
      <w:pPr>
        <w:spacing w:line="360" w:lineRule="auto"/>
        <w:ind w:firstLine="720"/>
        <w:rPr>
          <w:rFonts w:ascii="Arial" w:eastAsia="Noto Serif Telugu" w:hAnsi="Arial" w:cs="Arial"/>
          <w:sz w:val="24"/>
        </w:rPr>
      </w:pPr>
      <w:r>
        <w:rPr>
          <w:rFonts w:ascii="Arial" w:eastAsia="Noto Serif Telugu" w:hAnsi="Arial" w:cs="Arial"/>
          <w:sz w:val="24"/>
        </w:rPr>
        <w:t>Anyshire county council intended was to conduct a demolition exercise to develop a housing project for accommodating the elderly. They employed the services of a Kaboom demolition company under Mr. Slate, which was</w:t>
      </w:r>
      <w:r>
        <w:rPr>
          <w:rFonts w:ascii="Arial" w:eastAsia="Noto Serif Telugu" w:hAnsi="Arial" w:cs="Arial"/>
          <w:sz w:val="24"/>
        </w:rPr>
        <w:t xml:space="preserve"> low on public opinion on matters arising from previous exercises. On the day of the exercise, it is evident that Mr. Slate was not following standard procedures in regards to both employee and public safety. Mr </w:t>
      </w:r>
      <w:r>
        <w:rPr>
          <w:rFonts w:ascii="Arial" w:eastAsia="Noto Serif Telugu" w:hAnsi="Arial" w:cs="Arial"/>
          <w:sz w:val="24"/>
        </w:rPr>
        <w:lastRenderedPageBreak/>
        <w:t>Barney was injured by the debit being too cl</w:t>
      </w:r>
      <w:r>
        <w:rPr>
          <w:rFonts w:ascii="Arial" w:eastAsia="Noto Serif Telugu" w:hAnsi="Arial" w:cs="Arial"/>
          <w:sz w:val="24"/>
        </w:rPr>
        <w:t>ose to the progress timely as he was exciting the building.In regards to Mr. Flintstone who was nearby watching the activity, 100 meters away ,got wounded as a result of the demolition explosion. At this point, the victim decided on the liability issues an</w:t>
      </w:r>
      <w:r>
        <w:rPr>
          <w:rFonts w:ascii="Arial" w:eastAsia="Noto Serif Telugu" w:hAnsi="Arial" w:cs="Arial"/>
          <w:sz w:val="24"/>
        </w:rPr>
        <w:t xml:space="preserve">d sought to sue Anyshire County for the damage. Me.Barney on the other hand sought go go after the company and Mr Slate concerning his injuries seeking for compensation.This paper analyses the liability charge in regards to Flintstone v Anyshire County to </w:t>
      </w:r>
      <w:r>
        <w:rPr>
          <w:rFonts w:ascii="Arial" w:eastAsia="Noto Serif Telugu" w:hAnsi="Arial" w:cs="Arial"/>
          <w:sz w:val="24"/>
        </w:rPr>
        <w:t>provide a solution</w:t>
      </w:r>
    </w:p>
    <w:p w:rsidR="00783674" w:rsidRDefault="00592260">
      <w:pPr>
        <w:spacing w:line="360" w:lineRule="auto"/>
      </w:pPr>
      <w:r>
        <w:rPr>
          <w:b/>
          <w:sz w:val="24"/>
          <w:szCs w:val="24"/>
        </w:rPr>
        <w:t xml:space="preserve">Advice Barney of his prospects of proving that Kaboom Ltd breached the duty of care it owed him, as any employee, to protect his physical wellbeing.  </w:t>
      </w:r>
    </w:p>
    <w:p w:rsidR="00783674" w:rsidRDefault="00592260">
      <w:pPr>
        <w:spacing w:line="360" w:lineRule="auto"/>
        <w:ind w:firstLine="720"/>
      </w:pPr>
      <w:r>
        <w:rPr>
          <w:sz w:val="24"/>
          <w:szCs w:val="24"/>
        </w:rPr>
        <w:t>A breach of Duty of care is a result of failure in the fulfilment of compulsory respon</w:t>
      </w:r>
      <w:r>
        <w:rPr>
          <w:sz w:val="24"/>
          <w:szCs w:val="24"/>
        </w:rPr>
        <w:t xml:space="preserve">sibilities and measures. When an individual  is injured on Duty, then the necessary measures should be taken by the company to ensure compensation  and  sustain all processes. People should always be protected in the Line of Duty. This is because they are </w:t>
      </w:r>
      <w:r>
        <w:rPr>
          <w:sz w:val="24"/>
          <w:szCs w:val="24"/>
        </w:rPr>
        <w:t>an integral part in the continuity of work.The workforce is important and should be careful for at all costs</w:t>
      </w:r>
      <w:r>
        <w:t xml:space="preserve"> (4)</w:t>
      </w:r>
      <w:r>
        <w:rPr>
          <w:sz w:val="24"/>
          <w:szCs w:val="24"/>
        </w:rPr>
        <w:t xml:space="preserve"> They are mainly protected by the worker's unions that  assures employees wellbeing and utmost satisfaction in regards to the work environment a</w:t>
      </w:r>
      <w:r>
        <w:rPr>
          <w:sz w:val="24"/>
          <w:szCs w:val="24"/>
        </w:rPr>
        <w:t>nd the interaction within the job context.. In the event of an incidence occurring in the workplace, immediate action should be taken to endure that the matter does not supervised the workplace environment drawing in legal matters into context.</w:t>
      </w:r>
    </w:p>
    <w:p w:rsidR="00783674" w:rsidRDefault="00592260">
      <w:pPr>
        <w:spacing w:line="360" w:lineRule="auto"/>
        <w:ind w:firstLine="720"/>
      </w:pPr>
      <w:r>
        <w:rPr>
          <w:sz w:val="24"/>
          <w:szCs w:val="24"/>
        </w:rPr>
        <w:t>The organiz</w:t>
      </w:r>
      <w:r>
        <w:rPr>
          <w:sz w:val="24"/>
          <w:szCs w:val="24"/>
        </w:rPr>
        <w:t>ation's role is to make sure before the conduct of any activity, they that all precautions in regards to safety and liability are well laid . The need to keep the workforce at the workforce is a prime objective that enables that organisation  to effectivel</w:t>
      </w:r>
      <w:r>
        <w:rPr>
          <w:sz w:val="24"/>
          <w:szCs w:val="24"/>
        </w:rPr>
        <w:t>y conduct it's activities without issues arising from.neglect or lack of adequate planing.  If the Duty of care  owed to a person and is breached, resulting in some significant damage and injury, then the person who is injured has the right to take the mat</w:t>
      </w:r>
      <w:r>
        <w:rPr>
          <w:sz w:val="24"/>
          <w:szCs w:val="24"/>
        </w:rPr>
        <w:t>ter to court and sue the company In the relevant issues the company failed to manage. The expectation from instituting a case either through a court of through mediated efforts is to be able to receive compensation for the damages compensation basing on th</w:t>
      </w:r>
      <w:r>
        <w:rPr>
          <w:sz w:val="24"/>
          <w:szCs w:val="24"/>
        </w:rPr>
        <w:t xml:space="preserve">e companies safety protocols (5). This compensation covers the pain, injury, loss of  comfortability, and suffering in relation to loss of income and deprivities . Duty of care clause is only applicable if the company fails to take good care of the people </w:t>
      </w:r>
      <w:r>
        <w:rPr>
          <w:sz w:val="24"/>
          <w:szCs w:val="24"/>
        </w:rPr>
        <w:t xml:space="preserve"> within their workplace vicinity </w:t>
      </w:r>
      <w:r>
        <w:rPr>
          <w:sz w:val="24"/>
          <w:szCs w:val="24"/>
        </w:rPr>
        <w:lastRenderedPageBreak/>
        <w:t>and activities in regard to safety contingencies that occur. It is the company's mandate to ensure that the needs of the people are well handled in the right way. In case of any injury, they should take up the responsibilit</w:t>
      </w:r>
      <w:r>
        <w:rPr>
          <w:sz w:val="24"/>
          <w:szCs w:val="24"/>
        </w:rPr>
        <w:t>y of ensuring the injured person is well treated . The seriousness of the issue carries the weight on the level.of compensation the company should uphold  to cover for the injuries incurred in the process. Kaboom Ltd negligence in regards to safety measure</w:t>
      </w:r>
      <w:r>
        <w:rPr>
          <w:sz w:val="24"/>
          <w:szCs w:val="24"/>
        </w:rPr>
        <w:t xml:space="preserve"> and protocols was instrumental in causing harm to an employee , Mr.Brarney and to a bystander Mr.Flinststone.. Mr. Barney was charged with taking up the necessary measures that ensure that that the the company takes responsibility for his present physical</w:t>
      </w:r>
      <w:r>
        <w:rPr>
          <w:sz w:val="24"/>
          <w:szCs w:val="24"/>
        </w:rPr>
        <w:t xml:space="preserve"> state  to make sure that they follow up and offer rightful means to solve the issue .Furthermore, relating this issue to the Occupier's liability act 1957 to offer deliberations on the the way forward in regards to the Duty of care and responsibility(1).</w:t>
      </w:r>
    </w:p>
    <w:p w:rsidR="00783674" w:rsidRDefault="00592260">
      <w:pPr>
        <w:spacing w:line="360" w:lineRule="auto"/>
        <w:ind w:firstLine="720"/>
      </w:pPr>
      <w:r>
        <w:rPr>
          <w:sz w:val="24"/>
          <w:szCs w:val="24"/>
        </w:rPr>
        <w:t>In any given circumstance, employee safety should be well advocated for in any given event; if anything is to be done, the employee's safety should be prioritized. In this case, It is the duty of the employer, Mr Slate to ensure that the standard procedure</w:t>
      </w:r>
      <w:r>
        <w:rPr>
          <w:sz w:val="24"/>
          <w:szCs w:val="24"/>
        </w:rPr>
        <w:t xml:space="preserve"> protocols are advanced to the whole workforce that they can be well aware of the what is expected of them at any given time in the conduct of their work.Furthermore, the Employer should not underestimate any context within the conduct of the work to ensur</w:t>
      </w:r>
      <w:r>
        <w:rPr>
          <w:sz w:val="24"/>
          <w:szCs w:val="24"/>
        </w:rPr>
        <w:t>e all runs smoothly. From the look of things, it is clear that the safety of the people should be maintained at all times; the person  given the mandate to handle the issue of employee safety failed to play the role since he, Mr.Slate,gave insatiable delib</w:t>
      </w:r>
      <w:r>
        <w:rPr>
          <w:sz w:val="24"/>
          <w:szCs w:val="24"/>
        </w:rPr>
        <w:t>erations on the conduct of the demolition activity which resulted in creation of liability issues.. Barney 50 meters from the building when the demolition commenced and the debris caused injury to him.Mr.Slate had not taken the prerequisite measures that a</w:t>
      </w:r>
      <w:r>
        <w:rPr>
          <w:sz w:val="24"/>
          <w:szCs w:val="24"/>
        </w:rPr>
        <w:t>dvocate to ensuring that the the building was clear of all his employees showing a degree of neglect.</w:t>
      </w:r>
    </w:p>
    <w:p w:rsidR="00783674" w:rsidRDefault="00592260">
      <w:pPr>
        <w:spacing w:line="360" w:lineRule="auto"/>
        <w:ind w:firstLine="720"/>
      </w:pPr>
      <w:r>
        <w:rPr>
          <w:sz w:val="24"/>
          <w:szCs w:val="24"/>
        </w:rPr>
        <w:t>Kaboom Ltd did not follow all the necessary steps to solve the issue that was at hand. Instead of giving an alarm, the company went ahead and destroyed th</w:t>
      </w:r>
      <w:r>
        <w:rPr>
          <w:sz w:val="24"/>
          <w:szCs w:val="24"/>
        </w:rPr>
        <w:t>e building without caring for the safety of those who were still in the compound. The estimated distance was 300 meters, but it is clear Mr. Barney had not yet managed to make the minimum distance and was hit by the debris. In trying to prove that Kaboom L</w:t>
      </w:r>
      <w:r>
        <w:rPr>
          <w:sz w:val="24"/>
          <w:szCs w:val="24"/>
        </w:rPr>
        <w:t>td breached the duty of care, Barney's advice should be mentored on the occupiers liability act to deliberate on the issue in regards to the injuries he sustained.</w:t>
      </w:r>
    </w:p>
    <w:p w:rsidR="00783674" w:rsidRDefault="00592260">
      <w:pPr>
        <w:spacing w:line="360" w:lineRule="auto"/>
        <w:ind w:firstLine="720"/>
      </w:pPr>
      <w:r>
        <w:rPr>
          <w:sz w:val="24"/>
          <w:szCs w:val="24"/>
        </w:rPr>
        <w:t>First, it should be understood if there is any hostility between Barney and Mr.Perry. This i</w:t>
      </w:r>
      <w:r>
        <w:rPr>
          <w:sz w:val="24"/>
          <w:szCs w:val="24"/>
        </w:rPr>
        <w:t xml:space="preserve">s </w:t>
      </w:r>
      <w:r>
        <w:rPr>
          <w:sz w:val="24"/>
          <w:szCs w:val="24"/>
        </w:rPr>
        <w:lastRenderedPageBreak/>
        <w:t xml:space="preserve">one way of justifying if there was something engaged between the two employees. In conducting the duties, details are neccesitated.Mr. Perry failed in one of his assigned obligations. If there is something profound between the two, then it is clear that </w:t>
      </w:r>
      <w:r>
        <w:rPr>
          <w:sz w:val="24"/>
          <w:szCs w:val="24"/>
        </w:rPr>
        <w:t>it could cause what transpired to Mr. Barney. Mr.Perry did not finish the search in the building well; which could have avoided the liability issues that resulted. it is evident that he didn't note and report that Mr.Barney was still in the building so tha</w:t>
      </w:r>
      <w:r>
        <w:rPr>
          <w:sz w:val="24"/>
          <w:szCs w:val="24"/>
        </w:rPr>
        <w:t>t the process could be delayed a bit until the latter came out. The reasons behind this negligence and can be instrumental in proving Mr. Barney's case against the company. It serves Mr. Barney's intrests questioning all actions and why the company would f</w:t>
      </w:r>
      <w:r>
        <w:rPr>
          <w:sz w:val="24"/>
          <w:szCs w:val="24"/>
        </w:rPr>
        <w:t>ret a member of it's staff missing ant the rendezvous point before 12:30 pm.</w:t>
      </w:r>
    </w:p>
    <w:p w:rsidR="00783674" w:rsidRDefault="00592260">
      <w:pPr>
        <w:spacing w:line="360" w:lineRule="auto"/>
        <w:ind w:firstLine="720"/>
      </w:pPr>
      <w:r>
        <w:rPr>
          <w:sz w:val="24"/>
          <w:szCs w:val="24"/>
        </w:rPr>
        <w:t>Also, it is ignorance that led to the injuries on Barney.The alarm is supposed to to go on whenever the final stage of demolition begins to indicate the start.This however was not</w:t>
      </w:r>
      <w:r>
        <w:rPr>
          <w:sz w:val="24"/>
          <w:szCs w:val="24"/>
        </w:rPr>
        <w:t xml:space="preserve"> the case as no alarm was sounded. They just started the all operation without any alarm. Had the alarm rang, Mr.Barney could have known how to manage on his side and averted the situation  before things get worse. The person responsible for the alarm did </w:t>
      </w:r>
      <w:r>
        <w:rPr>
          <w:sz w:val="24"/>
          <w:szCs w:val="24"/>
        </w:rPr>
        <w:t>not do as was required of him and adds to.the liability clam by Mr.Barney. This indication could have avoided so much issue for both Barney and Fred, who were the victim in the process.</w:t>
      </w:r>
    </w:p>
    <w:p w:rsidR="00783674" w:rsidRDefault="00592260">
      <w:pPr>
        <w:spacing w:line="360" w:lineRule="auto"/>
        <w:ind w:firstLine="720"/>
      </w:pPr>
      <w:r>
        <w:rPr>
          <w:sz w:val="24"/>
          <w:szCs w:val="24"/>
        </w:rPr>
        <w:t>Also, before questioning all the above, Barney should come up with a g</w:t>
      </w:r>
      <w:r>
        <w:rPr>
          <w:sz w:val="24"/>
          <w:szCs w:val="24"/>
        </w:rPr>
        <w:t>ood explanation of what delayed him in the building, yet he knew the time set for demolition . All the employees were well knowledgeable of the time that the building was to be destroyed. If the reason is valid, then Barney should take up claiming compensa</w:t>
      </w:r>
      <w:r>
        <w:rPr>
          <w:sz w:val="24"/>
          <w:szCs w:val="24"/>
        </w:rPr>
        <w:t>tion for the injury caused in the process. The reason given should be a efficient  to convince on.the liability claim case.</w:t>
      </w:r>
    </w:p>
    <w:p w:rsidR="00783674" w:rsidRDefault="00592260">
      <w:pPr>
        <w:spacing w:line="360" w:lineRule="auto"/>
        <w:ind w:firstLine="720"/>
      </w:pPr>
      <w:r>
        <w:rPr>
          <w:sz w:val="24"/>
          <w:szCs w:val="24"/>
        </w:rPr>
        <w:t>Also, Kaboom Ltd is answerable to.why they had not taken safety measures to ensure that the activity was conducted without errors su</w:t>
      </w:r>
      <w:r>
        <w:rPr>
          <w:sz w:val="24"/>
          <w:szCs w:val="24"/>
        </w:rPr>
        <w:t>ch as what transpired.It was important to set up safety procedures way before the actual event by conducting relevant stimulus strategies to equip the workforce with engagement methodologies.Futhermore.they should have set should safety barriers perimeters</w:t>
      </w:r>
      <w:r>
        <w:rPr>
          <w:sz w:val="24"/>
          <w:szCs w:val="24"/>
        </w:rPr>
        <w:t xml:space="preserve"> of leghths approximately  350m surrounding the building resulting in the liability issues with both Mr Barney and Mr.Fred. Before any  demolition processes of big properties is conducted, the company should make sure all considerations on possible  injury</w:t>
      </w:r>
      <w:r>
        <w:rPr>
          <w:sz w:val="24"/>
          <w:szCs w:val="24"/>
        </w:rPr>
        <w:t xml:space="preserve"> to the people before starting the destruction process by creating a contingency plan that in this particular case was not highlighted.. The safety of the people supposed to be an utmost  guarantee. It is none negotiable. </w:t>
      </w:r>
      <w:r>
        <w:rPr>
          <w:sz w:val="24"/>
          <w:szCs w:val="24"/>
        </w:rPr>
        <w:lastRenderedPageBreak/>
        <w:t>By the way the company and Mr.Slat</w:t>
      </w:r>
      <w:r>
        <w:rPr>
          <w:sz w:val="24"/>
          <w:szCs w:val="24"/>
        </w:rPr>
        <w:t xml:space="preserve">e acted, it is clear evidence of  unprofessional ethics(6). As a company that is well known for demolition, one with a negative public relations history,they could have taken the charge of checking around and analyse the situation before commencing on the </w:t>
      </w:r>
      <w:r>
        <w:rPr>
          <w:sz w:val="24"/>
          <w:szCs w:val="24"/>
        </w:rPr>
        <w:t>demolition.</w:t>
      </w:r>
    </w:p>
    <w:p w:rsidR="00783674" w:rsidRDefault="00592260">
      <w:pPr>
        <w:spacing w:line="360" w:lineRule="auto"/>
        <w:ind w:firstLine="720"/>
      </w:pPr>
      <w:r>
        <w:rPr>
          <w:sz w:val="24"/>
          <w:szCs w:val="24"/>
        </w:rPr>
        <w:t>It is also clear that Barney should note on that particular day, Mr.Slate delighted the task to the news reporter who by no means was supposed to engage in the activity as someone with no experience in the job. Wilma is a news reporter, and the</w:t>
      </w:r>
      <w:r>
        <w:rPr>
          <w:sz w:val="24"/>
          <w:szCs w:val="24"/>
        </w:rPr>
        <w:t xml:space="preserve"> fact that she was given the duty of pressing the button without confirming for discrepancies  should be in question.The task should have been handled by professional in the field who was well aware on the relevant details .Such individuals would have  goo</w:t>
      </w:r>
      <w:r>
        <w:rPr>
          <w:sz w:val="24"/>
          <w:szCs w:val="24"/>
        </w:rPr>
        <w:t>d timing, and would raise the alarm before the blast. Each individual has the role to play in any in the conduct of this activity . If it was a person knowledgeable of how it works, then the hooter could have alerted the people that the final stages were i</w:t>
      </w:r>
      <w:r>
        <w:rPr>
          <w:sz w:val="24"/>
          <w:szCs w:val="24"/>
        </w:rPr>
        <w:t>n place and that all should have cleared out and find ways to help themselves in the whole scenario.</w:t>
      </w:r>
    </w:p>
    <w:p w:rsidR="00783674" w:rsidRDefault="00592260">
      <w:pPr>
        <w:spacing w:line="360" w:lineRule="auto"/>
        <w:ind w:firstLine="720"/>
        <w:rPr>
          <w:rFonts w:ascii="Arial" w:eastAsia="Noto Serif Telugu" w:hAnsi="Arial" w:cs="Arial"/>
          <w:b/>
          <w:sz w:val="24"/>
        </w:rPr>
      </w:pPr>
      <w:r>
        <w:rPr>
          <w:sz w:val="24"/>
          <w:szCs w:val="24"/>
        </w:rPr>
        <w:t>Another critical piece of advice to Mr.Barney is that he should make sure that he questions the company why they did not take up assigning two people to co</w:t>
      </w:r>
      <w:r>
        <w:rPr>
          <w:sz w:val="24"/>
          <w:szCs w:val="24"/>
        </w:rPr>
        <w:t>nfirm if the building was fully evacuated.This would have ensured that the company was without any doubt in aware of their operational procedures and would ensure no harm in such an activity. It is also clear that the company was on a publicity stunt to im</w:t>
      </w:r>
      <w:r>
        <w:rPr>
          <w:sz w:val="24"/>
          <w:szCs w:val="24"/>
        </w:rPr>
        <w:t>prove their ratings on television, leading to the failure of the all process. The company could have taken time to confirm everything before setting time for the demolition of the building. It is clear that the company was only after being known by the vag</w:t>
      </w:r>
      <w:r>
        <w:rPr>
          <w:sz w:val="24"/>
          <w:szCs w:val="24"/>
        </w:rPr>
        <w:t>uely on their new project rather than the actual work that was ahead of them and the individuals' health and safety</w:t>
      </w:r>
      <w:r>
        <w:t xml:space="preserve"> </w:t>
      </w:r>
      <w:r>
        <w:rPr>
          <w:sz w:val="24"/>
          <w:szCs w:val="24"/>
        </w:rPr>
        <w:t>(7). The news could have waited, and safety confirmed first. Rushing with time in this case  led to  an  incomplete process, in the long run</w:t>
      </w:r>
      <w:r>
        <w:rPr>
          <w:sz w:val="24"/>
          <w:szCs w:val="24"/>
        </w:rPr>
        <w:t xml:space="preserve"> and negative circumstances in regards to the Occupier's liability act of 1957</w:t>
      </w:r>
      <w:r>
        <w:t xml:space="preserve"> </w:t>
      </w:r>
      <w:r>
        <w:rPr>
          <w:sz w:val="24"/>
          <w:szCs w:val="24"/>
        </w:rPr>
        <w:t xml:space="preserve">(8). Everything needs good planning ahead of the implementation and it is clear that Kaboom Ltd failed to make one which led to people suffering injuries in the process such as </w:t>
      </w:r>
      <w:r>
        <w:rPr>
          <w:sz w:val="24"/>
          <w:szCs w:val="24"/>
        </w:rPr>
        <w:t xml:space="preserve">Mr.Barney. </w:t>
      </w:r>
      <w:r>
        <w:rPr>
          <w:rFonts w:ascii="Arial" w:eastAsia="Noto Serif Telugu" w:hAnsi="Arial" w:cs="Arial"/>
          <w:b/>
          <w:sz w:val="24"/>
        </w:rPr>
        <w:t xml:space="preserve">               Legal parameters</w:t>
      </w:r>
    </w:p>
    <w:p w:rsidR="00783674" w:rsidRDefault="00592260">
      <w:pPr>
        <w:spacing w:line="360" w:lineRule="auto"/>
        <w:ind w:firstLine="720"/>
        <w:rPr>
          <w:rFonts w:ascii="Arial" w:eastAsia="Noto Serif Telugu" w:hAnsi="Arial" w:cs="Arial"/>
          <w:sz w:val="24"/>
        </w:rPr>
      </w:pPr>
      <w:r>
        <w:rPr>
          <w:rFonts w:ascii="Arial" w:eastAsia="Noto Serif Telugu" w:hAnsi="Arial" w:cs="Arial"/>
          <w:sz w:val="24"/>
        </w:rPr>
        <w:t>The occupier's liability act drafted by the North Ireland parliamentary council came to be a relevant document in the UK. This concerns personal liabilities about set up structures that are either movable or fixed</w:t>
      </w:r>
      <w:r>
        <w:rPr>
          <w:rFonts w:ascii="Arial" w:eastAsia="Noto Serif Telugu" w:hAnsi="Arial" w:cs="Arial"/>
          <w:sz w:val="24"/>
        </w:rPr>
        <w:t xml:space="preserve">. The occupier in this context refers to the owner or the entity to who the belonging is charged. These act created a point of understanding </w:t>
      </w:r>
      <w:r>
        <w:rPr>
          <w:rFonts w:ascii="Arial" w:eastAsia="Noto Serif Telugu" w:hAnsi="Arial" w:cs="Arial"/>
          <w:sz w:val="24"/>
        </w:rPr>
        <w:lastRenderedPageBreak/>
        <w:t xml:space="preserve">from different points of views and perspectives to clear any disputes that align with clauses in the act. This act </w:t>
      </w:r>
      <w:r>
        <w:rPr>
          <w:rFonts w:ascii="Arial" w:eastAsia="Noto Serif Telugu" w:hAnsi="Arial" w:cs="Arial"/>
          <w:sz w:val="24"/>
        </w:rPr>
        <w:t>has been a reference document that has been utilized in such scenarios most especially in the commonwealth countries.</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rPr>
        <w:t xml:space="preserve">This particular case falls under the occupier's liability act of 1957. It is focused on subsections </w:t>
      </w:r>
      <w:r>
        <w:rPr>
          <w:rFonts w:ascii="Arial" w:eastAsia="Noto Serif Telugu" w:hAnsi="Arial" w:cs="Arial"/>
          <w:sz w:val="24"/>
          <w:szCs w:val="18"/>
        </w:rPr>
        <w:t xml:space="preserve">s.2 (2) Occupiers’ Liability Act 1957 </w:t>
      </w:r>
      <w:r>
        <w:rPr>
          <w:rFonts w:ascii="Arial" w:eastAsia="Noto Serif Telugu" w:hAnsi="Arial" w:cs="Arial"/>
          <w:sz w:val="24"/>
          <w:szCs w:val="18"/>
        </w:rPr>
        <w:t>and s.2 (4) (b) of the Occupiers’ Liability Act 1957(1). Regarding relevance, the particular clauses are the center of solving liability disputes.S.2 (2) Occupiers’ Liability Act 1957 is about the extent of the occupier's duty of care and responsibility. T</w:t>
      </w:r>
      <w:r>
        <w:rPr>
          <w:rFonts w:ascii="Arial" w:eastAsia="Noto Serif Telugu" w:hAnsi="Arial" w:cs="Arial"/>
          <w:sz w:val="24"/>
          <w:szCs w:val="18"/>
        </w:rPr>
        <w:t xml:space="preserve">his clause dictates that the occupier is liable for the harm any individual within the premise encounter as a visitor or permitted by the occupier whichever the case is </w:t>
      </w:r>
      <w:r>
        <w:rPr>
          <w:rFonts w:ascii="Arial" w:eastAsia="Noto Serif Telugu" w:hAnsi="Arial" w:cs="Arial"/>
          <w:sz w:val="24"/>
          <w:szCs w:val="18"/>
          <w:vertAlign w:val="superscript"/>
        </w:rPr>
        <w:t>1</w:t>
      </w:r>
      <w:r>
        <w:rPr>
          <w:rFonts w:ascii="Arial" w:eastAsia="Noto Serif Telugu" w:hAnsi="Arial" w:cs="Arial"/>
          <w:sz w:val="24"/>
          <w:szCs w:val="18"/>
        </w:rPr>
        <w:t>.This means the defendant, that is the occupier is liable to the plaintiff if the judg</w:t>
      </w:r>
      <w:r>
        <w:rPr>
          <w:rFonts w:ascii="Arial" w:eastAsia="Noto Serif Telugu" w:hAnsi="Arial" w:cs="Arial"/>
          <w:sz w:val="24"/>
          <w:szCs w:val="18"/>
        </w:rPr>
        <w:t>ment falls in line with it and favors the compensation process.S.2 (4) (b) of the Occupiers’ Liability Act 1957 provisions that in the event of harm to a visitor of the premise in regards to construction, maintenance or repair work which the occupier has a</w:t>
      </w:r>
      <w:r>
        <w:rPr>
          <w:rFonts w:ascii="Arial" w:eastAsia="Noto Serif Telugu" w:hAnsi="Arial" w:cs="Arial"/>
          <w:sz w:val="24"/>
          <w:szCs w:val="18"/>
        </w:rPr>
        <w:t xml:space="preserve">ssigned to another party and has taken the full precaution to their extent, then the liability will not be on the occupier as the contractor will be at fault. In this instance, the defendant is absolved of all the charges against them as occupiers </w:t>
      </w:r>
      <w:r>
        <w:rPr>
          <w:rFonts w:ascii="Arial" w:eastAsia="Noto Serif Telugu" w:hAnsi="Arial" w:cs="Arial"/>
          <w:sz w:val="24"/>
          <w:szCs w:val="18"/>
          <w:vertAlign w:val="superscript"/>
        </w:rPr>
        <w:t>1</w:t>
      </w:r>
      <w:r>
        <w:rPr>
          <w:rFonts w:ascii="Arial" w:eastAsia="Noto Serif Telugu" w:hAnsi="Arial" w:cs="Arial"/>
          <w:sz w:val="24"/>
          <w:szCs w:val="18"/>
        </w:rPr>
        <w:t>. However, the ruling opens up possibilities for the plaintiff to take relevant measures against the party (contractor) to whom the liability falls upon.</w:t>
      </w:r>
    </w:p>
    <w:p w:rsidR="00783674" w:rsidRDefault="00592260">
      <w:pPr>
        <w:spacing w:after="300" w:line="360" w:lineRule="auto"/>
        <w:rPr>
          <w:rFonts w:ascii="Arial" w:eastAsia="Noto Serif Telugu" w:hAnsi="Arial" w:cs="Arial"/>
          <w:b/>
          <w:sz w:val="24"/>
          <w:szCs w:val="18"/>
        </w:rPr>
      </w:pPr>
      <w:r>
        <w:rPr>
          <w:rFonts w:ascii="Arial" w:eastAsia="Noto Serif Telugu" w:hAnsi="Arial" w:cs="Arial"/>
          <w:sz w:val="24"/>
          <w:szCs w:val="18"/>
        </w:rPr>
        <w:t xml:space="preserve">                                                </w:t>
      </w:r>
      <w:r>
        <w:rPr>
          <w:rFonts w:ascii="Arial" w:eastAsia="Noto Serif Telugu" w:hAnsi="Arial" w:cs="Arial"/>
          <w:b/>
          <w:sz w:val="24"/>
          <w:szCs w:val="18"/>
        </w:rPr>
        <w:t>Similar cases of precedence</w:t>
      </w:r>
    </w:p>
    <w:p w:rsidR="00783674" w:rsidRDefault="00592260">
      <w:pPr>
        <w:spacing w:after="300" w:line="360" w:lineRule="auto"/>
        <w:rPr>
          <w:rFonts w:ascii="Arial" w:eastAsia="Noto Serif Telugu" w:hAnsi="Arial" w:cs="Arial"/>
          <w:b/>
          <w:sz w:val="24"/>
          <w:szCs w:val="18"/>
        </w:rPr>
      </w:pPr>
      <w:r>
        <w:rPr>
          <w:rFonts w:ascii="Arial" w:eastAsia="Noto Serif Telugu" w:hAnsi="Arial" w:cs="Arial"/>
          <w:b/>
          <w:sz w:val="24"/>
          <w:szCs w:val="18"/>
        </w:rPr>
        <w:t xml:space="preserve">                          </w:t>
      </w:r>
      <w:r>
        <w:rPr>
          <w:rFonts w:ascii="Arial" w:eastAsia="Noto Serif Telugu" w:hAnsi="Arial" w:cs="Arial"/>
          <w:b/>
          <w:sz w:val="24"/>
          <w:szCs w:val="18"/>
        </w:rPr>
        <w:t xml:space="preserve">           Hufton v Somerset County Council (2011)</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This case was presented to the appeal courts in the UK, where a 15 years old girl had been injured in the school halls after slipping. This was because the floor was wet from the rain and considerably unav</w:t>
      </w:r>
      <w:r>
        <w:rPr>
          <w:rFonts w:ascii="Arial" w:eastAsia="Noto Serif Telugu" w:hAnsi="Arial" w:cs="Arial"/>
          <w:sz w:val="24"/>
          <w:szCs w:val="18"/>
        </w:rPr>
        <w:t xml:space="preserve">oidable. The school on its side presented their assessment which had been carried on earlier before the incident. They had put two doors which were to substitute one another as emergency exits. On that particular day, this had already been implemented and </w:t>
      </w:r>
      <w:r>
        <w:rPr>
          <w:rFonts w:ascii="Arial" w:eastAsia="Noto Serif Telugu" w:hAnsi="Arial" w:cs="Arial"/>
          <w:sz w:val="24"/>
          <w:szCs w:val="18"/>
        </w:rPr>
        <w:t xml:space="preserve">signs would be put in place indicating the floor was wet </w:t>
      </w:r>
      <w:r>
        <w:rPr>
          <w:rFonts w:ascii="Arial" w:eastAsia="Noto Serif Telugu" w:hAnsi="Arial" w:cs="Arial"/>
          <w:sz w:val="24"/>
          <w:szCs w:val="18"/>
        </w:rPr>
        <w:lastRenderedPageBreak/>
        <w:t>and placing student leaders to direct the others about the area if it rained while the school was in progress. On the day of the incident, it rained while the students were out of school halls and th</w:t>
      </w:r>
      <w:r>
        <w:rPr>
          <w:rFonts w:ascii="Arial" w:eastAsia="Noto Serif Telugu" w:hAnsi="Arial" w:cs="Arial"/>
          <w:sz w:val="24"/>
          <w:szCs w:val="18"/>
        </w:rPr>
        <w:t xml:space="preserve">us the delay in placing the signs. The court’s ruling deliberated that the school council would not be held liable as they had put up reasonable precautionary initiatives to avert such possibilities and could not prevent accidents from happening </w:t>
      </w:r>
      <w:r>
        <w:rPr>
          <w:rFonts w:ascii="Arial" w:eastAsia="Noto Serif Telugu" w:hAnsi="Arial" w:cs="Arial"/>
          <w:sz w:val="24"/>
          <w:szCs w:val="18"/>
          <w:vertAlign w:val="superscript"/>
        </w:rPr>
        <w:t>2</w:t>
      </w:r>
      <w:r>
        <w:rPr>
          <w:rFonts w:ascii="Arial" w:eastAsia="Noto Serif Telugu" w:hAnsi="Arial" w:cs="Arial"/>
          <w:sz w:val="24"/>
          <w:szCs w:val="18"/>
        </w:rPr>
        <w:t>.</w:t>
      </w:r>
    </w:p>
    <w:p w:rsidR="00783674" w:rsidRDefault="00592260">
      <w:pPr>
        <w:spacing w:after="300" w:line="360" w:lineRule="auto"/>
        <w:rPr>
          <w:rFonts w:ascii="Arial" w:eastAsia="Noto Serif Telugu" w:hAnsi="Arial" w:cs="Arial"/>
          <w:b/>
          <w:sz w:val="24"/>
          <w:szCs w:val="18"/>
        </w:rPr>
      </w:pPr>
      <w:r>
        <w:rPr>
          <w:rFonts w:ascii="Arial" w:eastAsia="Noto Serif Telugu" w:hAnsi="Arial" w:cs="Arial"/>
          <w:sz w:val="24"/>
          <w:szCs w:val="18"/>
        </w:rPr>
        <w:t xml:space="preserve">       </w:t>
      </w:r>
      <w:r>
        <w:rPr>
          <w:rFonts w:ascii="Arial" w:eastAsia="Noto Serif Telugu" w:hAnsi="Arial" w:cs="Arial"/>
          <w:sz w:val="24"/>
          <w:szCs w:val="18"/>
        </w:rPr>
        <w:t xml:space="preserve">                                   </w:t>
      </w:r>
      <w:r>
        <w:rPr>
          <w:rFonts w:ascii="Arial" w:eastAsia="Noto Serif Telugu" w:hAnsi="Arial" w:cs="Arial"/>
          <w:b/>
          <w:sz w:val="24"/>
          <w:szCs w:val="18"/>
        </w:rPr>
        <w:t>Waldwick v. Malcolm (1991)</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 xml:space="preserve">This case was presented to the Supreme Court of Canada, after settlement failed in the appeal court of Ontario. Waldick had slid, fallen and got injured at the Malcom's rental house. This house </w:t>
      </w:r>
      <w:r>
        <w:rPr>
          <w:rFonts w:ascii="Arial" w:eastAsia="Noto Serif Telugu" w:hAnsi="Arial" w:cs="Arial"/>
          <w:sz w:val="24"/>
          <w:szCs w:val="18"/>
        </w:rPr>
        <w:t xml:space="preserve">belonged to Betty Stainback and Harry Hill. This was during the winter season and the area was covered with ice. Waldick acknowledges that the ice was visible and that nearly all the neighbors had not sprinkled salt on their yards and pathways. Waldwick’s </w:t>
      </w:r>
      <w:r>
        <w:rPr>
          <w:rFonts w:ascii="Arial" w:eastAsia="Noto Serif Telugu" w:hAnsi="Arial" w:cs="Arial"/>
          <w:sz w:val="24"/>
          <w:szCs w:val="18"/>
        </w:rPr>
        <w:t>sued them under the occupier's liability act of 1957, stating that they had failed in the duty of care to visitors. However, the issue the court was concerned about was in regards to whether the fault lied with Waldick or with Malcolm's. The court found th</w:t>
      </w:r>
      <w:r>
        <w:rPr>
          <w:rFonts w:ascii="Arial" w:eastAsia="Noto Serif Telugu" w:hAnsi="Arial" w:cs="Arial"/>
          <w:sz w:val="24"/>
          <w:szCs w:val="18"/>
        </w:rPr>
        <w:t>at both parties to blame. Waldick had been negligent of the icy roads and paths and was a contributor to the case at hand. Malcolm was declared liable for the harm and damage on Mr. Waldick and was to compensate fully in this regard. The judgment however d</w:t>
      </w:r>
      <w:r>
        <w:rPr>
          <w:rFonts w:ascii="Arial" w:eastAsia="Noto Serif Telugu" w:hAnsi="Arial" w:cs="Arial"/>
          <w:sz w:val="24"/>
          <w:szCs w:val="18"/>
        </w:rPr>
        <w:t xml:space="preserve">id not find Betty and Harry liable as they had delegated their ownership through renting to the Malcolm’s </w:t>
      </w:r>
      <w:r>
        <w:rPr>
          <w:rFonts w:ascii="Arial" w:eastAsia="Noto Serif Telugu" w:hAnsi="Arial" w:cs="Arial"/>
          <w:sz w:val="24"/>
          <w:szCs w:val="18"/>
          <w:vertAlign w:val="superscript"/>
        </w:rPr>
        <w:t>3</w:t>
      </w:r>
      <w:r>
        <w:rPr>
          <w:rFonts w:ascii="Arial" w:eastAsia="Noto Serif Telugu" w:hAnsi="Arial" w:cs="Arial"/>
          <w:sz w:val="24"/>
          <w:szCs w:val="18"/>
        </w:rPr>
        <w:t>. This meant that they did not fall under the occupier's act of 1957 and their case was dismissed.</w:t>
      </w:r>
    </w:p>
    <w:p w:rsidR="00783674" w:rsidRDefault="00592260">
      <w:pPr>
        <w:spacing w:after="300" w:line="360" w:lineRule="auto"/>
        <w:rPr>
          <w:rFonts w:ascii="Arial" w:eastAsia="Noto Serif Telugu" w:hAnsi="Arial" w:cs="Arial"/>
          <w:b/>
          <w:sz w:val="24"/>
          <w:szCs w:val="18"/>
        </w:rPr>
      </w:pPr>
      <w:r>
        <w:rPr>
          <w:rFonts w:ascii="Arial" w:eastAsia="Noto Serif Telugu" w:hAnsi="Arial" w:cs="Arial"/>
          <w:sz w:val="24"/>
          <w:szCs w:val="18"/>
        </w:rPr>
        <w:t xml:space="preserve">                                                </w:t>
      </w:r>
      <w:r>
        <w:rPr>
          <w:rFonts w:ascii="Arial" w:eastAsia="Noto Serif Telugu" w:hAnsi="Arial" w:cs="Arial"/>
          <w:b/>
          <w:sz w:val="24"/>
          <w:szCs w:val="18"/>
        </w:rPr>
        <w:t xml:space="preserve">  </w:t>
      </w:r>
      <w:r>
        <w:rPr>
          <w:rFonts w:ascii="Arial" w:eastAsia="Noto Serif Telugu" w:hAnsi="Arial" w:cs="Arial"/>
          <w:b/>
          <w:sz w:val="24"/>
          <w:szCs w:val="18"/>
        </w:rPr>
        <w:t>Flintstone case against Anyshire County</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 xml:space="preserve">So far, the clarity on the occupier's liability act of 1957 has been grasped and identifying the case of Fred Flintstone and Anyshire country can be easily judged. The perspectives that can be analyzed to understand </w:t>
      </w:r>
      <w:r>
        <w:rPr>
          <w:rFonts w:ascii="Arial" w:eastAsia="Noto Serif Telugu" w:hAnsi="Arial" w:cs="Arial"/>
          <w:sz w:val="24"/>
          <w:szCs w:val="18"/>
        </w:rPr>
        <w:t xml:space="preserve">the situation relates to the three major parties that were involved with and during the demolition. It is important to note that the occurrence was consequential and one of these parties was liable for the injury on that </w:t>
      </w:r>
      <w:r>
        <w:rPr>
          <w:rFonts w:ascii="Arial" w:eastAsia="Noto Serif Telugu" w:hAnsi="Arial" w:cs="Arial"/>
          <w:sz w:val="24"/>
          <w:szCs w:val="18"/>
        </w:rPr>
        <w:lastRenderedPageBreak/>
        <w:t>day. This particular case, however,</w:t>
      </w:r>
      <w:r>
        <w:rPr>
          <w:rFonts w:ascii="Arial" w:eastAsia="Noto Serif Telugu" w:hAnsi="Arial" w:cs="Arial"/>
          <w:sz w:val="24"/>
          <w:szCs w:val="18"/>
        </w:rPr>
        <w:t xml:space="preserve"> will focus on two particular perspectives that involve the anywhere county council and Mr. Fred Flintstone to outlay which party was liable.</w:t>
      </w:r>
    </w:p>
    <w:p w:rsidR="00783674" w:rsidRDefault="00592260">
      <w:pPr>
        <w:spacing w:after="300" w:line="360" w:lineRule="auto"/>
        <w:ind w:firstLine="720"/>
        <w:rPr>
          <w:rFonts w:ascii="Arial" w:eastAsia="Noto Serif Telugu" w:hAnsi="Arial" w:cs="Arial"/>
          <w:sz w:val="24"/>
        </w:rPr>
      </w:pPr>
      <w:r>
        <w:rPr>
          <w:rFonts w:ascii="Arial" w:eastAsia="Noto Serif Telugu" w:hAnsi="Arial" w:cs="Arial"/>
          <w:sz w:val="24"/>
        </w:rPr>
        <w:t>Anyshire county council had decided to demolish the premise on the idea of developing it. In this meeting, some si</w:t>
      </w:r>
      <w:r>
        <w:rPr>
          <w:rFonts w:ascii="Arial" w:eastAsia="Noto Serif Telugu" w:hAnsi="Arial" w:cs="Arial"/>
          <w:sz w:val="24"/>
        </w:rPr>
        <w:t xml:space="preserve">gnificant issues should or we're discussed in regards to the operation. First of all, the selection of the demolition company, Kaboom Company. This was done with due knowledge of its public relation and hence suiting it to handle the demolition. The other </w:t>
      </w:r>
      <w:r>
        <w:rPr>
          <w:rFonts w:ascii="Arial" w:eastAsia="Noto Serif Telugu" w:hAnsi="Arial" w:cs="Arial"/>
          <w:sz w:val="24"/>
        </w:rPr>
        <w:t>prominent issue involved public safety and ensuring that all concerned parties were well aware of the activity and would stay off the vicinity. Furthermore, the councils were required to send representatives who would ensure the progress on the site as per</w:t>
      </w:r>
      <w:r>
        <w:rPr>
          <w:rFonts w:ascii="Arial" w:eastAsia="Noto Serif Telugu" w:hAnsi="Arial" w:cs="Arial"/>
          <w:sz w:val="24"/>
        </w:rPr>
        <w:t xml:space="preserve"> the requirements in the meeting.</w:t>
      </w:r>
    </w:p>
    <w:p w:rsidR="00783674" w:rsidRDefault="00592260">
      <w:pPr>
        <w:spacing w:after="300" w:line="360" w:lineRule="auto"/>
        <w:ind w:firstLine="720"/>
        <w:rPr>
          <w:rFonts w:ascii="Arial" w:eastAsia="Noto Serif Telugu" w:hAnsi="Arial" w:cs="Arial"/>
          <w:sz w:val="24"/>
        </w:rPr>
      </w:pPr>
      <w:r>
        <w:rPr>
          <w:rFonts w:ascii="Arial" w:eastAsia="Noto Serif Telugu" w:hAnsi="Arial" w:cs="Arial"/>
          <w:sz w:val="24"/>
        </w:rPr>
        <w:t>Mr. Fred is the claimant of the liability for his injuries to fall on the county. However, several issues will be relevant in considering his plea for compensation. First of all, is to ascertain whether he was well aware o</w:t>
      </w:r>
      <w:r>
        <w:rPr>
          <w:rFonts w:ascii="Arial" w:eastAsia="Noto Serif Telugu" w:hAnsi="Arial" w:cs="Arial"/>
          <w:sz w:val="24"/>
        </w:rPr>
        <w:t>f the activity ongoing at the warehouse and if he had received precautionary information from the country media correspondence regarding the activity and what is involved. Furthermore, it begs the question to the reasons why he was at the site in the first</w:t>
      </w:r>
      <w:r>
        <w:rPr>
          <w:rFonts w:ascii="Arial" w:eastAsia="Noto Serif Telugu" w:hAnsi="Arial" w:cs="Arial"/>
          <w:sz w:val="24"/>
        </w:rPr>
        <w:t xml:space="preserve"> place. It was said that the demolition company had not set up a barrier to keep people off. However, it is right to assume that he was not the only bystander at the site. It is the expectation that there would have been more casualties. Lastly, Fred is sa</w:t>
      </w:r>
      <w:r>
        <w:rPr>
          <w:rFonts w:ascii="Arial" w:eastAsia="Noto Serif Telugu" w:hAnsi="Arial" w:cs="Arial"/>
          <w:sz w:val="24"/>
        </w:rPr>
        <w:t>id to have been standing 100 meters from the site, at a point, it is expected of him to have seen the activity in progress and kept a safe distance to avoid the debris. This is part of the considerations to make to understand to who the liability should li</w:t>
      </w:r>
      <w:r>
        <w:rPr>
          <w:rFonts w:ascii="Arial" w:eastAsia="Noto Serif Telugu" w:hAnsi="Arial" w:cs="Arial"/>
          <w:sz w:val="24"/>
        </w:rPr>
        <w:t>e on</w:t>
      </w:r>
    </w:p>
    <w:p w:rsidR="00783674" w:rsidRDefault="00592260">
      <w:pPr>
        <w:spacing w:after="300" w:line="360" w:lineRule="auto"/>
        <w:rPr>
          <w:rFonts w:ascii="Arial" w:eastAsia="Noto Serif Telugu" w:hAnsi="Arial" w:cs="Arial"/>
          <w:b/>
          <w:sz w:val="24"/>
        </w:rPr>
      </w:pPr>
      <w:r>
        <w:rPr>
          <w:rFonts w:ascii="Arial" w:eastAsia="Noto Serif Telugu" w:hAnsi="Arial" w:cs="Arial"/>
          <w:sz w:val="24"/>
        </w:rPr>
        <w:t xml:space="preserve">                                        </w:t>
      </w:r>
      <w:r>
        <w:rPr>
          <w:rFonts w:ascii="Arial" w:eastAsia="Noto Serif Telugu" w:hAnsi="Arial" w:cs="Arial"/>
          <w:b/>
          <w:sz w:val="24"/>
        </w:rPr>
        <w:t>Relating the case to occupier’s liability act1957</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rPr>
        <w:t>According to subsection</w:t>
      </w:r>
      <w:r>
        <w:rPr>
          <w:rFonts w:ascii="Arial" w:eastAsia="Noto Serif Telugu" w:hAnsi="Arial" w:cs="Arial"/>
          <w:sz w:val="24"/>
          <w:szCs w:val="18"/>
        </w:rPr>
        <w:t>.2 (2) Occupiers’ Liability Act 1957  council would be liable to Mr. Fred in the event he was a visitor or was permitted to be at the site</w:t>
      </w:r>
      <w:r>
        <w:rPr>
          <w:rFonts w:ascii="Arial" w:eastAsia="Noto Serif Telugu" w:hAnsi="Arial" w:cs="Arial"/>
          <w:sz w:val="24"/>
          <w:szCs w:val="18"/>
        </w:rPr>
        <w:t xml:space="preserve">. The issue lies in the council measures to emphasize to the public that the demolition would be ongoing </w:t>
      </w:r>
      <w:r>
        <w:rPr>
          <w:rFonts w:ascii="Arial" w:eastAsia="Noto Serif Telugu" w:hAnsi="Arial" w:cs="Arial"/>
          <w:sz w:val="24"/>
          <w:szCs w:val="18"/>
        </w:rPr>
        <w:lastRenderedPageBreak/>
        <w:t xml:space="preserve">and no bystanders were allowed close to the area. It is clear that the vicinity was not purchased nor a rental but was owned by the county. Therefore, </w:t>
      </w:r>
      <w:r>
        <w:rPr>
          <w:rFonts w:ascii="Arial" w:eastAsia="Noto Serif Telugu" w:hAnsi="Arial" w:cs="Arial"/>
          <w:sz w:val="24"/>
          <w:szCs w:val="18"/>
        </w:rPr>
        <w:t xml:space="preserve">in this regard, it was public property and everyone was allowed entry </w:t>
      </w:r>
      <w:r>
        <w:rPr>
          <w:rFonts w:ascii="Arial" w:eastAsia="Noto Serif Telugu" w:hAnsi="Arial" w:cs="Arial"/>
          <w:sz w:val="24"/>
          <w:szCs w:val="18"/>
          <w:vertAlign w:val="superscript"/>
        </w:rPr>
        <w:t>1</w:t>
      </w:r>
      <w:r>
        <w:rPr>
          <w:rFonts w:ascii="Arial" w:eastAsia="Noto Serif Telugu" w:hAnsi="Arial" w:cs="Arial"/>
          <w:sz w:val="24"/>
          <w:szCs w:val="18"/>
        </w:rPr>
        <w:t>. This subsection finds the council liable to Mr. Fred.</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However, according to subsection .2(4) (b) of the Occupiers’ Liability Act 1957, the council had delegated the work to the Kaboom</w:t>
      </w:r>
      <w:r>
        <w:rPr>
          <w:rFonts w:ascii="Arial" w:eastAsia="Noto Serif Telugu" w:hAnsi="Arial" w:cs="Arial"/>
          <w:sz w:val="24"/>
          <w:szCs w:val="18"/>
        </w:rPr>
        <w:t xml:space="preserve"> company and Mr. Slate. Here, they had given all authority and capabilities to guaranteeing the work was done and in a professional manner. According to this, the council cannot be held liable for injuries or damages to individuals as their mandate had bee</w:t>
      </w:r>
      <w:r>
        <w:rPr>
          <w:rFonts w:ascii="Arial" w:eastAsia="Noto Serif Telugu" w:hAnsi="Arial" w:cs="Arial"/>
          <w:sz w:val="24"/>
          <w:szCs w:val="18"/>
        </w:rPr>
        <w:t xml:space="preserve">n relinquished before the activity </w:t>
      </w:r>
      <w:r>
        <w:rPr>
          <w:rFonts w:ascii="Arial" w:eastAsia="Noto Serif Telugu" w:hAnsi="Arial" w:cs="Arial"/>
          <w:sz w:val="24"/>
          <w:szCs w:val="18"/>
          <w:vertAlign w:val="superscript"/>
        </w:rPr>
        <w:t>1</w:t>
      </w:r>
      <w:r>
        <w:rPr>
          <w:rFonts w:ascii="Arial" w:eastAsia="Noto Serif Telugu" w:hAnsi="Arial" w:cs="Arial"/>
          <w:sz w:val="24"/>
          <w:szCs w:val="18"/>
        </w:rPr>
        <w:t>. The liability claim by Mr. Fred at this instance lies entirely on Kaboom Company which in this context is not in trial.</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At this point, it is evident that the council would fall in liability to Mr. Fred based on the sub</w:t>
      </w:r>
      <w:r>
        <w:rPr>
          <w:rFonts w:ascii="Arial" w:eastAsia="Noto Serif Telugu" w:hAnsi="Arial" w:cs="Arial"/>
          <w:sz w:val="24"/>
          <w:szCs w:val="18"/>
        </w:rPr>
        <w:t>section.2(2) Occupiers’ Liability Act 1957 due to their connection with the public and being the guardians of public property. Furthermore, it is important to note that Mr. Fred was partly liable on his end because being the only casualty shows he was negl</w:t>
      </w:r>
      <w:r>
        <w:rPr>
          <w:rFonts w:ascii="Arial" w:eastAsia="Noto Serif Telugu" w:hAnsi="Arial" w:cs="Arial"/>
          <w:sz w:val="24"/>
          <w:szCs w:val="18"/>
        </w:rPr>
        <w:t>igent to the dangerous activity that was ongoing and chose not to keep a safe distance. However, the case in regards to the occupier's ability act would favor him as a member of the public due to the council's failure to ensure the duty of care.</w:t>
      </w:r>
    </w:p>
    <w:p w:rsidR="00783674" w:rsidRDefault="00592260">
      <w:pPr>
        <w:spacing w:after="300" w:line="360" w:lineRule="auto"/>
        <w:rPr>
          <w:rFonts w:ascii="Arial" w:eastAsia="Noto Serif Telugu" w:hAnsi="Arial" w:cs="Arial"/>
          <w:sz w:val="24"/>
          <w:szCs w:val="18"/>
        </w:rPr>
      </w:pPr>
      <w:r>
        <w:rPr>
          <w:rFonts w:ascii="Arial" w:eastAsia="Noto Serif Telugu" w:hAnsi="Arial" w:cs="Arial"/>
          <w:sz w:val="24"/>
          <w:szCs w:val="18"/>
        </w:rPr>
        <w:t xml:space="preserve">          </w:t>
      </w:r>
      <w:r>
        <w:rPr>
          <w:rFonts w:ascii="Arial" w:eastAsia="Noto Serif Telugu" w:hAnsi="Arial" w:cs="Arial"/>
          <w:sz w:val="24"/>
          <w:szCs w:val="18"/>
        </w:rPr>
        <w:t xml:space="preserve">                                                              </w:t>
      </w:r>
    </w:p>
    <w:p w:rsidR="00783674" w:rsidRDefault="00592260">
      <w:pPr>
        <w:spacing w:after="300" w:line="360" w:lineRule="auto"/>
        <w:ind w:left="2880" w:firstLine="720"/>
        <w:rPr>
          <w:rFonts w:ascii="Arial" w:eastAsia="Noto Serif Telugu" w:hAnsi="Arial" w:cs="Arial"/>
          <w:b/>
          <w:sz w:val="24"/>
          <w:szCs w:val="18"/>
        </w:rPr>
      </w:pPr>
      <w:r>
        <w:rPr>
          <w:rFonts w:ascii="Arial" w:eastAsia="Noto Serif Telugu" w:hAnsi="Arial" w:cs="Arial"/>
          <w:sz w:val="24"/>
          <w:szCs w:val="18"/>
        </w:rPr>
        <w:t xml:space="preserve">  </w:t>
      </w:r>
      <w:r>
        <w:rPr>
          <w:rFonts w:ascii="Arial" w:eastAsia="Noto Serif Telugu" w:hAnsi="Arial" w:cs="Arial"/>
          <w:b/>
          <w:sz w:val="24"/>
          <w:szCs w:val="18"/>
        </w:rPr>
        <w:t xml:space="preserve"> Conclusion</w:t>
      </w:r>
    </w:p>
    <w:p w:rsidR="00783674" w:rsidRDefault="00592260">
      <w:pPr>
        <w:spacing w:after="300" w:line="360" w:lineRule="auto"/>
        <w:ind w:firstLine="720"/>
        <w:rPr>
          <w:rFonts w:ascii="Arial" w:eastAsia="Noto Serif Telugu" w:hAnsi="Arial" w:cs="Arial"/>
          <w:sz w:val="24"/>
          <w:szCs w:val="18"/>
        </w:rPr>
      </w:pPr>
      <w:r>
        <w:rPr>
          <w:rFonts w:ascii="Arial" w:eastAsia="Noto Serif Telugu" w:hAnsi="Arial" w:cs="Arial"/>
          <w:sz w:val="24"/>
          <w:szCs w:val="18"/>
        </w:rPr>
        <w:t xml:space="preserve">The Occupier's liability act of 1957 has a complicit detail in regards to conflicts that may arise within the interactions in owned properties and incidence to the users. This </w:t>
      </w:r>
      <w:r>
        <w:rPr>
          <w:rFonts w:ascii="Arial" w:eastAsia="Noto Serif Telugu" w:hAnsi="Arial" w:cs="Arial"/>
          <w:sz w:val="24"/>
          <w:szCs w:val="18"/>
        </w:rPr>
        <w:t>act has become a prominent document in settling issues. The majority of the commonwealth countries have been using it to settle liability disputes in and outside the courtrooms.</w:t>
      </w: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783674">
      <w:pPr>
        <w:spacing w:after="300" w:line="360" w:lineRule="auto"/>
        <w:rPr>
          <w:rFonts w:ascii="Arial" w:eastAsia="Noto Serif Telugu" w:hAnsi="Arial" w:cs="Arial"/>
          <w:sz w:val="24"/>
        </w:rPr>
      </w:pPr>
    </w:p>
    <w:p w:rsidR="00783674" w:rsidRDefault="00592260">
      <w:pPr>
        <w:spacing w:after="300" w:line="360" w:lineRule="auto"/>
        <w:rPr>
          <w:rFonts w:ascii="Arial" w:eastAsia="Noto Serif Telugu" w:hAnsi="Arial" w:cs="Arial"/>
          <w:b/>
          <w:sz w:val="24"/>
          <w:szCs w:val="18"/>
        </w:rPr>
      </w:pPr>
      <w:r>
        <w:rPr>
          <w:rFonts w:ascii="Arial" w:eastAsia="Noto Serif Telugu" w:hAnsi="Arial" w:cs="Arial"/>
          <w:b/>
          <w:sz w:val="24"/>
          <w:szCs w:val="18"/>
        </w:rPr>
        <w:t xml:space="preserve">                                                  </w:t>
      </w:r>
    </w:p>
    <w:p w:rsidR="00783674" w:rsidRDefault="00592260">
      <w:pPr>
        <w:spacing w:after="300" w:line="360" w:lineRule="auto"/>
        <w:rPr>
          <w:rFonts w:ascii="Arial" w:eastAsia="Noto Serif Telugu" w:hAnsi="Arial" w:cs="Arial"/>
          <w:b/>
          <w:sz w:val="24"/>
          <w:szCs w:val="18"/>
        </w:rPr>
      </w:pPr>
      <w:r>
        <w:rPr>
          <w:rFonts w:ascii="Arial" w:eastAsia="Noto Serif Telugu" w:hAnsi="Arial" w:cs="Arial"/>
          <w:b/>
          <w:sz w:val="24"/>
          <w:szCs w:val="18"/>
        </w:rPr>
        <w:t xml:space="preserve">                                      Bibliography</w:t>
      </w:r>
    </w:p>
    <w:p w:rsidR="00783674" w:rsidRDefault="00592260">
      <w:pPr>
        <w:spacing w:after="300" w:line="360" w:lineRule="auto"/>
        <w:rPr>
          <w:rFonts w:ascii="Arial" w:eastAsia="Noto Serif Telugu" w:hAnsi="Arial" w:cs="Arial"/>
          <w:sz w:val="24"/>
        </w:rPr>
      </w:pPr>
      <w:r>
        <w:rPr>
          <w:rFonts w:ascii="Arial" w:eastAsia="Noto Serif Telugu" w:hAnsi="Arial" w:cs="Arial"/>
          <w:sz w:val="24"/>
        </w:rPr>
        <w:t xml:space="preserve">Expert participation. Occupiers' Liability Act 1957. Legislation.gov.uk. </w:t>
      </w:r>
      <w:r>
        <w:rPr>
          <w:rFonts w:ascii="Arial" w:eastAsia="Noto Serif Telugu" w:hAnsi="Arial" w:cs="Arial"/>
          <w:sz w:val="24"/>
        </w:rPr>
        <w:lastRenderedPageBreak/>
        <w:t xml:space="preserve">(1980,).https://www.legislation.gov.uk/ukpga/Eliz2/5-6/31/section/2. </w:t>
      </w:r>
    </w:p>
    <w:p w:rsidR="00783674" w:rsidRDefault="00592260">
      <w:pPr>
        <w:spacing w:after="300" w:line="360" w:lineRule="auto"/>
        <w:rPr>
          <w:rFonts w:ascii="Arial" w:hAnsi="Arial" w:cs="Arial"/>
        </w:rPr>
      </w:pPr>
      <w:r>
        <w:rPr>
          <w:rFonts w:ascii="Arial" w:eastAsia="Noto Serif Telugu" w:hAnsi="Arial" w:cs="Arial"/>
          <w:sz w:val="24"/>
        </w:rPr>
        <w:t>Hufton v Somerset County Council (2011) EWCA Civ 789. (2011) E</w:t>
      </w:r>
      <w:r>
        <w:rPr>
          <w:rFonts w:ascii="Arial" w:eastAsia="Noto Serif Telugu" w:hAnsi="Arial" w:cs="Arial"/>
          <w:sz w:val="24"/>
        </w:rPr>
        <w:t>LR 482</w:t>
      </w:r>
    </w:p>
    <w:p w:rsidR="00783674" w:rsidRDefault="00592260">
      <w:pPr>
        <w:spacing w:after="300" w:line="360" w:lineRule="auto"/>
      </w:pPr>
      <w:r>
        <w:rPr>
          <w:rFonts w:ascii="Arial" w:eastAsia="Noto Serif Telugu" w:hAnsi="Arial" w:cs="Arial"/>
          <w:sz w:val="24"/>
        </w:rPr>
        <w:t>Waldick v. Malcolm, [1991] 2 S.C.R. 456(1991) SCC 21781</w:t>
      </w:r>
    </w:p>
    <w:p w:rsidR="00783674" w:rsidRDefault="00592260">
      <w:pPr>
        <w:spacing w:line="360" w:lineRule="auto"/>
        <w:ind w:left="720" w:hanging="720"/>
      </w:pPr>
      <w:r>
        <w:rPr>
          <w:sz w:val="24"/>
          <w:szCs w:val="24"/>
        </w:rPr>
        <w:t>Alizabeth Calder. . Duty of care : an executive’s guide for corporate boards in the digital era. John Wiley &amp; Sons, Inc.(2019)https://www.wiley.com/en-us/Duty+of+Care%3A+An+Executive%27s+Guide+</w:t>
      </w:r>
      <w:r>
        <w:rPr>
          <w:sz w:val="24"/>
          <w:szCs w:val="24"/>
        </w:rPr>
        <w:t>for+Corporate+Boards+in+the+Digital+Era-p-9781119578154</w:t>
      </w:r>
    </w:p>
    <w:p w:rsidR="00783674" w:rsidRDefault="00592260">
      <w:pPr>
        <w:spacing w:line="360" w:lineRule="auto"/>
        <w:ind w:left="720" w:hanging="720"/>
      </w:pPr>
      <w:r>
        <w:rPr>
          <w:sz w:val="24"/>
          <w:szCs w:val="24"/>
        </w:rPr>
        <w:t>De Guttry.A, Frulli, M., Greppi.E, Macchi.C,&amp; Lacroix The duty of care of international organizations towards their civilian personnel : legal obligations and implementation challenges. Asser Press(20</w:t>
      </w:r>
      <w:r>
        <w:rPr>
          <w:sz w:val="24"/>
          <w:szCs w:val="24"/>
        </w:rPr>
        <w:t>18), [Berlin.https://www.asser.nl/asserpress/books/?rId=12904</w:t>
      </w:r>
    </w:p>
    <w:p w:rsidR="00783674" w:rsidRDefault="00592260">
      <w:pPr>
        <w:spacing w:line="360" w:lineRule="auto"/>
        <w:ind w:left="720" w:hanging="720"/>
      </w:pPr>
      <w:r>
        <w:rPr>
          <w:sz w:val="24"/>
          <w:szCs w:val="24"/>
        </w:rPr>
        <w:t>Confederation Of Postgraduate Medical Education Councils The student and junior doctor in distress - “our duty of care” proceedings of a conference of the Confederation of Postgraduate Medical E</w:t>
      </w:r>
      <w:r>
        <w:rPr>
          <w:sz w:val="24"/>
          <w:szCs w:val="24"/>
        </w:rPr>
        <w:t>ducation Councils, 19-20 July 2001. Sydney.(2002)</w:t>
      </w:r>
    </w:p>
    <w:p w:rsidR="00783674" w:rsidRDefault="00592260">
      <w:pPr>
        <w:spacing w:line="360" w:lineRule="auto"/>
        <w:ind w:left="720" w:hanging="720"/>
      </w:pPr>
      <w:r>
        <w:rPr>
          <w:sz w:val="24"/>
          <w:szCs w:val="24"/>
        </w:rPr>
        <w:t>Hood, J. B., Hardy, B. A., &amp; Lewis, H. S.. Workers’ compensation and employee protection laws in a nutshell. West Academic Publishing.(2017)</w:t>
      </w:r>
    </w:p>
    <w:p w:rsidR="00783674" w:rsidRDefault="00592260">
      <w:pPr>
        <w:spacing w:line="360" w:lineRule="auto"/>
        <w:ind w:left="720" w:hanging="720"/>
      </w:pPr>
      <w:r>
        <w:rPr>
          <w:sz w:val="24"/>
          <w:szCs w:val="24"/>
        </w:rPr>
        <w:t xml:space="preserve">United States. Congress. House. Committee On Government </w:t>
      </w:r>
      <w:r>
        <w:rPr>
          <w:sz w:val="24"/>
          <w:szCs w:val="24"/>
        </w:rPr>
        <w:t>Reform. The continuing oversight of the National Vaccine Injury Compensation Program : hearing before the Committee on Government Reform, House of Representatives, One Hundred Seventh Congress, second session, September 18, 2002. U.S. G.P.O.(2003)</w:t>
      </w:r>
    </w:p>
    <w:p w:rsidR="00783674" w:rsidRDefault="00783674">
      <w:pPr>
        <w:spacing w:line="360" w:lineRule="auto"/>
        <w:ind w:firstLine="720"/>
      </w:pPr>
    </w:p>
    <w:p w:rsidR="00783674" w:rsidRDefault="00783674">
      <w:pPr>
        <w:spacing w:after="300" w:line="360" w:lineRule="auto"/>
        <w:rPr>
          <w:rFonts w:ascii="Arial" w:hAnsi="Arial" w:cs="Arial"/>
        </w:rPr>
      </w:pPr>
    </w:p>
    <w:p w:rsidR="00783674" w:rsidRDefault="00783674">
      <w:pPr>
        <w:spacing w:line="360" w:lineRule="auto"/>
        <w:rPr>
          <w:rFonts w:ascii="Arial" w:hAnsi="Arial" w:cs="Arial"/>
        </w:rPr>
      </w:pPr>
    </w:p>
    <w:sectPr w:rsidR="00783674">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592260">
      <w:r>
        <w:separator/>
      </w:r>
    </w:p>
  </w:endnote>
  <w:endnote w:type="continuationSeparator" w:id="0">
    <w:p w:rsidR="00000000" w:rsidRDefault="0059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Noto Serif Telugu">
    <w:panose1 w:val="02020502040504020204"/>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3674" w:rsidRDefault="00592260">
    <w:pPr>
      <w:pStyle w:val="Footer"/>
      <w:jc w:val="right"/>
    </w:pPr>
    <w:r>
      <w:fldChar w:fldCharType="begin"/>
    </w:r>
    <w:r>
      <w:instrText xml:space="preserve"> PAGE   \* MERGEFORMAT </w:instrText>
    </w:r>
    <w:r>
      <w:fldChar w:fldCharType="separate"/>
    </w:r>
    <w:r>
      <w:rPr>
        <w:noProof/>
      </w:rPr>
      <w:t>3</w:t>
    </w:r>
    <w:r>
      <w:rPr>
        <w:noProof/>
      </w:rPr>
      <w:fldChar w:fldCharType="end"/>
    </w:r>
  </w:p>
  <w:p w:rsidR="00783674" w:rsidRDefault="00592260">
    <w:pPr>
      <w:pStyle w:val="Footer"/>
      <w:tabs>
        <w:tab w:val="clear" w:pos="4680"/>
        <w:tab w:val="clear" w:pos="9360"/>
      </w:tabs>
      <w:rPr>
        <w:rFonts w:ascii="Arial" w:eastAsia="Noto Serif Telugu" w:hAnsi="Arial" w:cs="Arial"/>
        <w:sz w:val="16"/>
        <w:szCs w:val="16"/>
      </w:rPr>
    </w:pPr>
    <w:r>
      <w:tab/>
    </w:r>
    <w:r>
      <w:rPr>
        <w:vertAlign w:val="superscript"/>
      </w:rPr>
      <w:t>1</w:t>
    </w:r>
    <w:r>
      <w:rPr>
        <w:rFonts w:ascii="Arial" w:eastAsia="Noto Serif Telugu" w:hAnsi="Arial" w:cs="Arial"/>
        <w:sz w:val="16"/>
        <w:szCs w:val="16"/>
      </w:rPr>
      <w:t>Expert participation.</w:t>
    </w:r>
  </w:p>
  <w:p w:rsidR="00783674" w:rsidRDefault="00592260">
    <w:pPr>
      <w:pStyle w:val="Footer"/>
      <w:tabs>
        <w:tab w:val="clear" w:pos="4680"/>
        <w:tab w:val="clear" w:pos="9360"/>
      </w:tabs>
      <w:rPr>
        <w:sz w:val="16"/>
        <w:szCs w:val="16"/>
      </w:rPr>
    </w:pPr>
    <w:r>
      <w:rPr>
        <w:sz w:val="16"/>
        <w:szCs w:val="16"/>
      </w:rPr>
      <w:tab/>
    </w:r>
    <w:r>
      <w:rPr>
        <w:sz w:val="16"/>
        <w:szCs w:val="16"/>
        <w:vertAlign w:val="superscript"/>
      </w:rPr>
      <w:t>2</w:t>
    </w:r>
    <w:r>
      <w:rPr>
        <w:rFonts w:ascii="Arial" w:eastAsia="Noto Serif Telugu" w:hAnsi="Arial" w:cs="Arial"/>
        <w:sz w:val="24"/>
      </w:rPr>
      <w:t xml:space="preserve"> </w:t>
    </w:r>
    <w:r>
      <w:rPr>
        <w:rFonts w:ascii="Arial" w:eastAsia="Noto Serif Telugu" w:hAnsi="Arial" w:cs="Arial"/>
        <w:sz w:val="16"/>
        <w:szCs w:val="16"/>
      </w:rPr>
      <w:t>Hufton v Somerset County Council</w:t>
    </w:r>
  </w:p>
  <w:p w:rsidR="00783674" w:rsidRDefault="00592260">
    <w:pPr>
      <w:pStyle w:val="Footer"/>
      <w:tabs>
        <w:tab w:val="clear" w:pos="4680"/>
        <w:tab w:val="clear" w:pos="9360"/>
      </w:tabs>
      <w:rPr>
        <w:rFonts w:ascii="Arial" w:eastAsia="Noto Serif Telugu" w:hAnsi="Arial" w:cs="Arial"/>
        <w:sz w:val="16"/>
        <w:szCs w:val="16"/>
      </w:rPr>
    </w:pPr>
    <w:r>
      <w:rPr>
        <w:sz w:val="16"/>
        <w:szCs w:val="16"/>
      </w:rPr>
      <w:tab/>
    </w:r>
    <w:r>
      <w:rPr>
        <w:sz w:val="16"/>
        <w:szCs w:val="16"/>
        <w:vertAlign w:val="superscript"/>
      </w:rPr>
      <w:t>3</w:t>
    </w:r>
    <w:r>
      <w:rPr>
        <w:rFonts w:ascii="Arial" w:eastAsia="Noto Serif Telugu" w:hAnsi="Arial" w:cs="Arial"/>
        <w:sz w:val="24"/>
      </w:rPr>
      <w:t xml:space="preserve"> </w:t>
    </w:r>
    <w:r>
      <w:rPr>
        <w:rFonts w:ascii="Arial" w:eastAsia="Noto Serif Telugu" w:hAnsi="Arial" w:cs="Arial"/>
        <w:sz w:val="16"/>
        <w:szCs w:val="16"/>
      </w:rPr>
      <w:t>Waldick v. Malcolm</w:t>
    </w:r>
  </w:p>
  <w:p w:rsidR="00783674" w:rsidRDefault="00592260">
    <w:pPr>
      <w:pStyle w:val="Footer"/>
      <w:tabs>
        <w:tab w:val="clear" w:pos="4680"/>
        <w:tab w:val="clear" w:pos="9360"/>
      </w:tabs>
      <w:rPr>
        <w:sz w:val="13"/>
        <w:szCs w:val="24"/>
      </w:rPr>
    </w:pPr>
    <w:r>
      <w:rPr>
        <w:rFonts w:ascii="Arial" w:eastAsia="Noto Serif Telugu" w:hAnsi="Arial" w:cs="Arial"/>
        <w:sz w:val="16"/>
        <w:szCs w:val="16"/>
      </w:rPr>
      <w:t xml:space="preserve">                 </w:t>
    </w:r>
    <w:r>
      <w:rPr>
        <w:rFonts w:ascii="Arial" w:eastAsia="Noto Serif Telugu" w:hAnsi="Arial" w:cs="Arial"/>
        <w:sz w:val="13"/>
        <w:szCs w:val="16"/>
      </w:rPr>
      <w:t xml:space="preserve">  4</w:t>
    </w:r>
    <w:r>
      <w:rPr>
        <w:sz w:val="13"/>
        <w:szCs w:val="24"/>
      </w:rPr>
      <w:t xml:space="preserve"> Calder. Duty of care </w:t>
    </w:r>
  </w:p>
  <w:p w:rsidR="00783674" w:rsidRDefault="00592260">
    <w:pPr>
      <w:pStyle w:val="Footer"/>
      <w:tabs>
        <w:tab w:val="clear" w:pos="4680"/>
        <w:tab w:val="clear" w:pos="9360"/>
      </w:tabs>
      <w:rPr>
        <w:sz w:val="13"/>
        <w:szCs w:val="24"/>
      </w:rPr>
    </w:pPr>
    <w:r>
      <w:rPr>
        <w:sz w:val="13"/>
        <w:szCs w:val="24"/>
      </w:rPr>
      <w:t xml:space="preserve">                         5.confederation Of Postgraduate Medical Education </w:t>
    </w:r>
    <w:r>
      <w:rPr>
        <w:sz w:val="13"/>
        <w:szCs w:val="24"/>
      </w:rPr>
      <w:t>Councils.</w:t>
    </w:r>
  </w:p>
  <w:p w:rsidR="00783674" w:rsidRDefault="00592260">
    <w:pPr>
      <w:spacing w:line="360" w:lineRule="auto"/>
      <w:ind w:left="720" w:hanging="720"/>
      <w:rPr>
        <w:sz w:val="13"/>
        <w:szCs w:val="24"/>
      </w:rPr>
    </w:pPr>
    <w:r>
      <w:rPr>
        <w:sz w:val="13"/>
        <w:szCs w:val="24"/>
      </w:rPr>
      <w:t xml:space="preserve">                         6.Hood et all. Workers’ compensation</w:t>
    </w:r>
  </w:p>
  <w:p w:rsidR="00783674" w:rsidRDefault="00592260">
    <w:pPr>
      <w:spacing w:line="360" w:lineRule="auto"/>
      <w:ind w:left="720" w:hanging="720"/>
      <w:rPr>
        <w:sz w:val="13"/>
        <w:szCs w:val="24"/>
      </w:rPr>
    </w:pPr>
    <w:r>
      <w:rPr>
        <w:sz w:val="13"/>
        <w:szCs w:val="24"/>
      </w:rPr>
      <w:t xml:space="preserve">                        7. De Guttry.The duty of care </w:t>
    </w:r>
  </w:p>
  <w:p w:rsidR="00783674" w:rsidRDefault="00592260">
    <w:pPr>
      <w:spacing w:line="360" w:lineRule="auto"/>
      <w:ind w:left="720" w:hanging="720"/>
      <w:rPr>
        <w:sz w:val="13"/>
        <w:szCs w:val="16"/>
      </w:rPr>
    </w:pPr>
    <w:r>
      <w:rPr>
        <w:sz w:val="13"/>
        <w:szCs w:val="24"/>
      </w:rPr>
      <w:t xml:space="preserve">                          8.United States. Congress. House. Committee On Government Reform.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592260">
      <w:r>
        <w:separator/>
      </w:r>
    </w:p>
  </w:footnote>
  <w:footnote w:type="continuationSeparator" w:id="0">
    <w:p w:rsidR="00000000" w:rsidRDefault="00592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83674" w:rsidRDefault="00783674">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74"/>
    <w:rsid w:val="00592260"/>
    <w:rsid w:val="00783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2CD6F4F-3399-E447-8325-306CD967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0" w:line="240" w:lineRule="auto"/>
      <w:jc w:val="both"/>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SimSun" w:hAnsi="Times New Roman" w:cs="Times New Roman"/>
      <w:kern w:val="2"/>
      <w:sz w:val="21"/>
      <w:szCs w:val="20"/>
      <w:lang w:eastAsia="zh-CN"/>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SimSun" w:hAnsi="Times New Roman" w:cs="Times New Roman"/>
      <w:kern w:val="2"/>
      <w:sz w:val="21"/>
      <w:szCs w:val="20"/>
      <w:lang w:eastAsia="zh-CN"/>
    </w:rPr>
  </w:style>
  <w:style w:type="paragraph" w:styleId="ListParagraph">
    <w:name w:val="List Paragraph"/>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18843</Characters>
  <Application>Microsoft Office Word</Application>
  <DocSecurity>0</DocSecurity>
  <Lines>157</Lines>
  <Paragraphs>44</Paragraphs>
  <ScaleCrop>false</ScaleCrop>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nyoike31@gmail.com</cp:lastModifiedBy>
  <cp:revision>2</cp:revision>
  <dcterms:created xsi:type="dcterms:W3CDTF">2021-05-21T11:54:00Z</dcterms:created>
  <dcterms:modified xsi:type="dcterms:W3CDTF">2021-05-21T11:54:00Z</dcterms:modified>
</cp:coreProperties>
</file>